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C886D" w14:textId="77777777" w:rsidR="00993B3B" w:rsidRDefault="00993B3B" w:rsidP="001F2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3CB718" w14:textId="553BC145" w:rsidR="00220CE2" w:rsidRPr="00220CE2" w:rsidRDefault="00220CE2" w:rsidP="00CB4DB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20CE2">
        <w:rPr>
          <w:rFonts w:ascii="Times New Roman" w:hAnsi="Times New Roman" w:cs="Times New Roman"/>
          <w:b/>
          <w:sz w:val="28"/>
          <w:szCs w:val="28"/>
        </w:rPr>
        <w:t>TEXTO APROBADO EN LA COMISIÓN PRIMERA DE LA HONORABLE CÁMARA DE REPRESENTANTES EN PRIMER DEBATE DEL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CE2">
        <w:rPr>
          <w:rFonts w:ascii="Times New Roman" w:hAnsi="Times New Roman" w:cs="Times New Roman"/>
          <w:b/>
          <w:sz w:val="28"/>
          <w:szCs w:val="28"/>
          <w:lang w:bidi="es-CO"/>
        </w:rPr>
        <w:t xml:space="preserve">PROYECTO DE </w:t>
      </w:r>
    </w:p>
    <w:p w14:paraId="11C54D1C" w14:textId="163DC108" w:rsidR="00220CE2" w:rsidRPr="00220CE2" w:rsidRDefault="00220CE2" w:rsidP="00CB4DBD">
      <w:pPr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20CE2">
        <w:rPr>
          <w:rFonts w:ascii="Times New Roman" w:eastAsia="Arial" w:hAnsi="Times New Roman" w:cs="Times New Roman"/>
          <w:b/>
          <w:sz w:val="28"/>
          <w:szCs w:val="28"/>
        </w:rPr>
        <w:t xml:space="preserve">LEY ORGÁNICA N° 311 DE 2024 CÁMARA – 178 DE 2023 SENADO </w:t>
      </w:r>
    </w:p>
    <w:p w14:paraId="040EEC36" w14:textId="488A9AF3" w:rsidR="00220CE2" w:rsidRPr="00220CE2" w:rsidRDefault="00220CE2" w:rsidP="00CB4DB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20CE2">
        <w:rPr>
          <w:rFonts w:ascii="Times New Roman" w:eastAsia="Arial" w:hAnsi="Times New Roman" w:cs="Times New Roman"/>
          <w:b/>
          <w:sz w:val="28"/>
          <w:szCs w:val="28"/>
        </w:rPr>
        <w:t>“POR MEDIO DE LA CUAL SE INTERPRETAN CON AUTORIDAD LAS EXPRESIONES “ELECCIÓN” Y “ELECCIÓN DE LA CANDIDATURA”, UTILIZADAS EN LOS NUMERALES 4 Y 5 Y 9 A 12 DEL ARTÍCULO 111 DE LA LEY 2200 DE 2022”</w:t>
      </w:r>
    </w:p>
    <w:p w14:paraId="4B888F42" w14:textId="77777777" w:rsidR="00220CE2" w:rsidRPr="00220CE2" w:rsidRDefault="00220CE2" w:rsidP="00220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CC74B" w14:textId="7857E84E" w:rsidR="00220CE2" w:rsidRPr="00220CE2" w:rsidRDefault="00220CE2" w:rsidP="00220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E2">
        <w:rPr>
          <w:rFonts w:ascii="Times New Roman" w:hAnsi="Times New Roman" w:cs="Times New Roman"/>
          <w:b/>
          <w:sz w:val="28"/>
          <w:szCs w:val="28"/>
        </w:rPr>
        <w:t>EL CONGRESO DE COLOMBIA</w:t>
      </w:r>
    </w:p>
    <w:p w14:paraId="26A66CCD" w14:textId="77777777" w:rsidR="00220CE2" w:rsidRPr="00220CE2" w:rsidRDefault="00220CE2" w:rsidP="00220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8C52B" w14:textId="77777777" w:rsidR="00220CE2" w:rsidRPr="00220CE2" w:rsidRDefault="00220CE2" w:rsidP="00220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E2">
        <w:rPr>
          <w:rFonts w:ascii="Times New Roman" w:hAnsi="Times New Roman" w:cs="Times New Roman"/>
          <w:b/>
          <w:sz w:val="28"/>
          <w:szCs w:val="28"/>
        </w:rPr>
        <w:t>DECRETA:</w:t>
      </w:r>
    </w:p>
    <w:p w14:paraId="3AA0F483" w14:textId="77777777" w:rsidR="00220CE2" w:rsidRPr="00220CE2" w:rsidRDefault="00220CE2" w:rsidP="00220CE2">
      <w:pPr>
        <w:jc w:val="both"/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</w:pPr>
    </w:p>
    <w:p w14:paraId="4BD12306" w14:textId="77777777" w:rsidR="00220CE2" w:rsidRPr="00220CE2" w:rsidRDefault="00220CE2" w:rsidP="00220CE2">
      <w:pPr>
        <w:pStyle w:val="NormalWeb"/>
        <w:jc w:val="both"/>
        <w:rPr>
          <w:sz w:val="28"/>
          <w:szCs w:val="28"/>
        </w:rPr>
      </w:pPr>
      <w:r w:rsidRPr="00220CE2">
        <w:rPr>
          <w:rStyle w:val="Textoennegrita"/>
          <w:sz w:val="28"/>
          <w:szCs w:val="28"/>
        </w:rPr>
        <w:t>Artículo 1. Objeto.</w:t>
      </w:r>
      <w:r w:rsidRPr="00220CE2">
        <w:rPr>
          <w:sz w:val="28"/>
          <w:szCs w:val="28"/>
        </w:rPr>
        <w:t xml:space="preserve"> El objeto de esta Ley es interpretar con autoridad las expresiones “elección”, utilizada en los numerales 4 y 5, y “elección de la candidatura”, utilizada en los numerales 9 a 12 del artículo 111 de la Ley 2200 de 2022.</w:t>
      </w:r>
    </w:p>
    <w:p w14:paraId="31398A6D" w14:textId="77777777" w:rsidR="00220CE2" w:rsidRPr="00220CE2" w:rsidRDefault="00220CE2" w:rsidP="00220CE2">
      <w:pPr>
        <w:pStyle w:val="NormalWeb"/>
        <w:jc w:val="both"/>
        <w:rPr>
          <w:sz w:val="28"/>
          <w:szCs w:val="28"/>
        </w:rPr>
      </w:pPr>
      <w:r w:rsidRPr="00220CE2">
        <w:rPr>
          <w:rStyle w:val="Textoennegrita"/>
          <w:sz w:val="28"/>
          <w:szCs w:val="28"/>
        </w:rPr>
        <w:t>Artículo 2.</w:t>
      </w:r>
      <w:r w:rsidRPr="00220CE2">
        <w:rPr>
          <w:sz w:val="28"/>
          <w:szCs w:val="28"/>
        </w:rPr>
        <w:t xml:space="preserve"> Para todos los efectos legales, deberá interpretarse que la expresión “elección” utilizada en los numerales 4 y 5 del artículo 111 de la Ley 2200 de 2022 hace referencia a la fecha de elección mediante sufragio, y por ende dichas inhabilidades aplicarán exclusivamente a quienes sean elegidos mediante voto popular como gobernador.</w:t>
      </w:r>
    </w:p>
    <w:p w14:paraId="07804AFF" w14:textId="77777777" w:rsidR="00220CE2" w:rsidRPr="00220CE2" w:rsidRDefault="00220CE2" w:rsidP="00220CE2">
      <w:pPr>
        <w:pStyle w:val="NormalWeb"/>
        <w:jc w:val="both"/>
        <w:rPr>
          <w:sz w:val="28"/>
          <w:szCs w:val="28"/>
        </w:rPr>
      </w:pPr>
      <w:r w:rsidRPr="00220CE2">
        <w:rPr>
          <w:rStyle w:val="Textoennegrita"/>
          <w:sz w:val="28"/>
          <w:szCs w:val="28"/>
        </w:rPr>
        <w:t>Artículo 3.</w:t>
      </w:r>
      <w:r w:rsidRPr="00220CE2">
        <w:rPr>
          <w:sz w:val="28"/>
          <w:szCs w:val="28"/>
        </w:rPr>
        <w:t xml:space="preserve"> Para todos los efectos legales, la expresión “elección de la candidatura” contemplada en los ordinales 9, 10, 11 y 12 del artículo 111 de la ley 2200 de 2022, será interpretada como la “fecha de la elección”, esto es, como el día en el que los ciudadanos acuden a las urnas para depositar sus votos, en el marco de la aplicación del régimen de inhabilidades establecido en esa norma sólo para el cargo de gobernador departamental.</w:t>
      </w:r>
    </w:p>
    <w:p w14:paraId="5FC9D27B" w14:textId="77777777" w:rsidR="00220CE2" w:rsidRPr="00220CE2" w:rsidRDefault="00220CE2" w:rsidP="00220CE2">
      <w:pPr>
        <w:pStyle w:val="NormalWeb"/>
        <w:jc w:val="both"/>
        <w:rPr>
          <w:sz w:val="28"/>
          <w:szCs w:val="28"/>
        </w:rPr>
      </w:pPr>
      <w:r w:rsidRPr="00220CE2">
        <w:rPr>
          <w:rStyle w:val="Textoennegrita"/>
          <w:sz w:val="28"/>
          <w:szCs w:val="28"/>
        </w:rPr>
        <w:t>Artículo 4.</w:t>
      </w:r>
      <w:r w:rsidRPr="00220CE2">
        <w:rPr>
          <w:sz w:val="28"/>
          <w:szCs w:val="28"/>
        </w:rPr>
        <w:t xml:space="preserve"> La presente ley rige a partir de su promulgación.</w:t>
      </w:r>
    </w:p>
    <w:p w14:paraId="5C9C9B36" w14:textId="77777777" w:rsidR="00220CE2" w:rsidRPr="00220CE2" w:rsidRDefault="00220CE2" w:rsidP="00220CE2">
      <w:pPr>
        <w:jc w:val="both"/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</w:pPr>
    </w:p>
    <w:p w14:paraId="1B765DB2" w14:textId="18D1A7F3" w:rsidR="00FA078B" w:rsidRPr="00220CE2" w:rsidRDefault="00FA078B" w:rsidP="00FA07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FFD8ED" w14:textId="7D1EDFEE" w:rsidR="00993B3B" w:rsidRPr="00220CE2" w:rsidRDefault="00732BE7" w:rsidP="00DD54E9">
      <w:pPr>
        <w:tabs>
          <w:tab w:val="left" w:pos="482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highlight w:val="white"/>
        </w:rPr>
      </w:pPr>
      <w:r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</w:t>
      </w:r>
      <w:bookmarkStart w:id="0" w:name="_GoBack"/>
      <w:bookmarkEnd w:id="0"/>
    </w:p>
    <w:p w14:paraId="7931BFAE" w14:textId="676B9131" w:rsidR="00C7658D" w:rsidRPr="00220CE2" w:rsidRDefault="00210E09" w:rsidP="00DD54E9">
      <w:pPr>
        <w:tabs>
          <w:tab w:val="left" w:pos="482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highlight w:val="white"/>
        </w:rPr>
      </w:pPr>
      <w:r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E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n los anteriores términos fue aprobado </w:t>
      </w:r>
      <w:r w:rsidR="0048762A">
        <w:rPr>
          <w:rFonts w:ascii="Times New Roman" w:eastAsia="Century Gothic" w:hAnsi="Times New Roman" w:cs="Times New Roman"/>
          <w:sz w:val="28"/>
          <w:szCs w:val="28"/>
          <w:highlight w:val="white"/>
        </w:rPr>
        <w:t>si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n modificaciones en primer debate el presente Proyecto de Ley</w:t>
      </w:r>
      <w:r w:rsidR="005952E1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Orgánica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, según consta en el Acta No. </w:t>
      </w:r>
      <w:r w:rsidR="0048762A">
        <w:rPr>
          <w:rFonts w:ascii="Times New Roman" w:eastAsia="Century Gothic" w:hAnsi="Times New Roman" w:cs="Times New Roman"/>
          <w:sz w:val="28"/>
          <w:szCs w:val="28"/>
          <w:highlight w:val="white"/>
        </w:rPr>
        <w:t>55</w:t>
      </w:r>
      <w:r w:rsidR="006E3F60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de sesión del </w:t>
      </w:r>
      <w:r w:rsidR="007B5EDC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11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de </w:t>
      </w:r>
      <w:r w:rsidR="0048762A">
        <w:rPr>
          <w:rFonts w:ascii="Times New Roman" w:eastAsia="Century Gothic" w:hAnsi="Times New Roman" w:cs="Times New Roman"/>
          <w:sz w:val="28"/>
          <w:szCs w:val="28"/>
          <w:highlight w:val="white"/>
        </w:rPr>
        <w:t>junio</w:t>
      </w:r>
      <w:r w:rsidR="005952E1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de 202</w:t>
      </w:r>
      <w:r w:rsidR="008C5463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5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. Así mismo fue anunc</w:t>
      </w:r>
      <w:r w:rsidR="007B5EDC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iado entre otras fechas</w:t>
      </w:r>
      <w:r w:rsidR="0048762A">
        <w:rPr>
          <w:rFonts w:ascii="Times New Roman" w:eastAsia="Century Gothic" w:hAnsi="Times New Roman" w:cs="Times New Roman"/>
          <w:sz w:val="28"/>
          <w:szCs w:val="28"/>
          <w:highlight w:val="white"/>
        </w:rPr>
        <w:t>,</w:t>
      </w:r>
      <w:r w:rsidR="007B5EDC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el día </w:t>
      </w:r>
      <w:r w:rsidR="0048762A">
        <w:rPr>
          <w:rFonts w:ascii="Times New Roman" w:eastAsia="Century Gothic" w:hAnsi="Times New Roman" w:cs="Times New Roman"/>
          <w:sz w:val="28"/>
          <w:szCs w:val="28"/>
          <w:highlight w:val="white"/>
        </w:rPr>
        <w:t>1</w:t>
      </w:r>
      <w:r w:rsidR="007B5EDC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0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de </w:t>
      </w:r>
      <w:r w:rsidR="0048762A">
        <w:rPr>
          <w:rFonts w:ascii="Times New Roman" w:eastAsia="Century Gothic" w:hAnsi="Times New Roman" w:cs="Times New Roman"/>
          <w:sz w:val="28"/>
          <w:szCs w:val="28"/>
          <w:highlight w:val="white"/>
        </w:rPr>
        <w:t>juni</w:t>
      </w:r>
      <w:r w:rsidR="007B5EDC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o</w:t>
      </w:r>
      <w:r w:rsidR="008C5463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de 202</w:t>
      </w:r>
      <w:r w:rsidR="008C5463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5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, según consta en el Acta </w:t>
      </w:r>
      <w:r w:rsidR="0048762A">
        <w:rPr>
          <w:rFonts w:ascii="Times New Roman" w:eastAsia="Century Gothic" w:hAnsi="Times New Roman" w:cs="Times New Roman"/>
          <w:sz w:val="28"/>
          <w:szCs w:val="28"/>
          <w:highlight w:val="white"/>
        </w:rPr>
        <w:t>54</w:t>
      </w:r>
      <w:r w:rsidR="00C7658D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de Sesión de esa misma fecha.</w:t>
      </w:r>
    </w:p>
    <w:p w14:paraId="04937046" w14:textId="77777777" w:rsidR="00E90D44" w:rsidRPr="00220CE2" w:rsidRDefault="00E90D44" w:rsidP="00DD54E9">
      <w:pPr>
        <w:tabs>
          <w:tab w:val="left" w:pos="4678"/>
          <w:tab w:val="left" w:pos="5103"/>
        </w:tabs>
        <w:spacing w:after="0" w:line="240" w:lineRule="auto"/>
        <w:jc w:val="both"/>
        <w:rPr>
          <w:rFonts w:ascii="Times New Roman" w:eastAsia="Century Gothic" w:hAnsi="Times New Roman" w:cs="Times New Roman"/>
          <w:b/>
          <w:sz w:val="28"/>
          <w:szCs w:val="28"/>
          <w:highlight w:val="white"/>
        </w:rPr>
      </w:pPr>
    </w:p>
    <w:p w14:paraId="6493BCEF" w14:textId="77777777" w:rsidR="005952E1" w:rsidRPr="00220CE2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highlight w:val="white"/>
        </w:rPr>
      </w:pPr>
    </w:p>
    <w:p w14:paraId="12C414F0" w14:textId="77777777" w:rsidR="005952E1" w:rsidRPr="00220CE2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highlight w:val="white"/>
        </w:rPr>
      </w:pPr>
    </w:p>
    <w:p w14:paraId="0763F530" w14:textId="77777777" w:rsidR="005952E1" w:rsidRPr="00220CE2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highlight w:val="white"/>
        </w:rPr>
      </w:pPr>
    </w:p>
    <w:p w14:paraId="20C1D62E" w14:textId="2501442B" w:rsidR="00C7658D" w:rsidRPr="00220CE2" w:rsidRDefault="00CB4DBD" w:rsidP="00C7658D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Century Gothic" w:hAnsi="Times New Roman" w:cs="Times New Roman"/>
          <w:b/>
          <w:sz w:val="28"/>
          <w:szCs w:val="28"/>
          <w:highlight w:val="white"/>
        </w:rPr>
        <w:t>CARLOS A. ARDILA ESPINOSA</w:t>
      </w:r>
      <w:r w:rsidR="00A55B17" w:rsidRPr="00220CE2">
        <w:rPr>
          <w:rFonts w:ascii="Times New Roman" w:eastAsia="Century Gothic" w:hAnsi="Times New Roman" w:cs="Times New Roman"/>
          <w:b/>
          <w:sz w:val="28"/>
          <w:szCs w:val="28"/>
          <w:highlight w:val="white"/>
        </w:rPr>
        <w:t xml:space="preserve">       </w:t>
      </w:r>
      <w:r w:rsidR="005239BE" w:rsidRPr="00220CE2">
        <w:rPr>
          <w:rFonts w:ascii="Times New Roman" w:eastAsia="Century Gothic" w:hAnsi="Times New Roman" w:cs="Times New Roman"/>
          <w:b/>
          <w:sz w:val="28"/>
          <w:szCs w:val="28"/>
          <w:highlight w:val="white"/>
        </w:rPr>
        <w:tab/>
        <w:t>ANA PAOLA GARCÍA SOTO</w:t>
      </w:r>
    </w:p>
    <w:p w14:paraId="47426ED7" w14:textId="4B45B365" w:rsidR="00C7658D" w:rsidRPr="00220CE2" w:rsidRDefault="00A55B17" w:rsidP="00C7658D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highlight w:val="white"/>
        </w:rPr>
      </w:pPr>
      <w:r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Ponente Coordinador                                </w:t>
      </w:r>
      <w:r w:rsidR="005239BE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ab/>
        <w:t>Presidenta</w:t>
      </w:r>
    </w:p>
    <w:p w14:paraId="5AA2F68F" w14:textId="77777777" w:rsidR="00A92BE9" w:rsidRPr="00220CE2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14:paraId="38D9BE97" w14:textId="77777777" w:rsidR="00A92BE9" w:rsidRPr="00220CE2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14:paraId="14717D40" w14:textId="77777777" w:rsidR="00A92BE9" w:rsidRPr="00220CE2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14:paraId="60DEC449" w14:textId="77777777" w:rsidR="005952E1" w:rsidRPr="00220CE2" w:rsidRDefault="005952E1" w:rsidP="00A92BE9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14:paraId="3F45D209" w14:textId="251A90EE" w:rsidR="005239BE" w:rsidRPr="00220CE2" w:rsidRDefault="005239BE" w:rsidP="005239BE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highlight w:val="white"/>
        </w:rPr>
      </w:pPr>
      <w:r w:rsidRPr="00220CE2">
        <w:rPr>
          <w:rFonts w:ascii="Times New Roman" w:eastAsia="Century Gothic" w:hAnsi="Times New Roman" w:cs="Times New Roman"/>
          <w:b/>
          <w:sz w:val="28"/>
          <w:szCs w:val="28"/>
        </w:rPr>
        <w:t xml:space="preserve">       </w:t>
      </w:r>
      <w:r w:rsidR="0048762A">
        <w:rPr>
          <w:rFonts w:ascii="Times New Roman" w:eastAsia="Century Gothic" w:hAnsi="Times New Roman" w:cs="Times New Roman"/>
          <w:b/>
          <w:sz w:val="28"/>
          <w:szCs w:val="28"/>
        </w:rPr>
        <w:t xml:space="preserve">             </w:t>
      </w:r>
      <w:r w:rsidR="00A55B17" w:rsidRPr="00220CE2">
        <w:rPr>
          <w:rFonts w:ascii="Times New Roman" w:eastAsia="Century Gothic" w:hAnsi="Times New Roman" w:cs="Times New Roman"/>
          <w:b/>
          <w:sz w:val="28"/>
          <w:szCs w:val="28"/>
        </w:rPr>
        <w:t xml:space="preserve"> AMPARO YANETH CALDERON PERDOMO</w:t>
      </w:r>
      <w:r w:rsidR="005952E1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 </w:t>
      </w:r>
    </w:p>
    <w:p w14:paraId="3BEF65C0" w14:textId="4B248349" w:rsidR="008C485F" w:rsidRPr="00220CE2" w:rsidRDefault="005239BE" w:rsidP="005239BE">
      <w:pPr>
        <w:tabs>
          <w:tab w:val="left" w:pos="4678"/>
          <w:tab w:val="left" w:pos="5103"/>
        </w:tabs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</w:rPr>
      </w:pPr>
      <w:r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                                         </w:t>
      </w:r>
      <w:r w:rsidR="007F2F46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         </w:t>
      </w:r>
      <w:r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>Secretaria</w:t>
      </w:r>
      <w:r w:rsidR="005952E1"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                                                  </w:t>
      </w:r>
      <w:r w:rsidRPr="00220CE2">
        <w:rPr>
          <w:rFonts w:ascii="Times New Roman" w:eastAsia="Century Gothic" w:hAnsi="Times New Roman" w:cs="Times New Roman"/>
          <w:sz w:val="28"/>
          <w:szCs w:val="28"/>
          <w:highlight w:val="white"/>
        </w:rPr>
        <w:t xml:space="preserve">                      </w:t>
      </w:r>
      <w:r w:rsidRPr="00220CE2">
        <w:rPr>
          <w:rFonts w:ascii="Times New Roman" w:eastAsia="Century Gothic" w:hAnsi="Times New Roman" w:cs="Times New Roman"/>
          <w:sz w:val="28"/>
          <w:szCs w:val="28"/>
        </w:rPr>
        <w:t xml:space="preserve">                </w:t>
      </w:r>
    </w:p>
    <w:sectPr w:rsidR="008C485F" w:rsidRPr="00220CE2" w:rsidSect="00E66A69">
      <w:headerReference w:type="default" r:id="rId8"/>
      <w:footerReference w:type="default" r:id="rId9"/>
      <w:pgSz w:w="12240" w:h="15840"/>
      <w:pgMar w:top="709" w:right="1701" w:bottom="1417" w:left="1701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D8734" w14:textId="77777777" w:rsidR="003C5420" w:rsidRDefault="003C5420" w:rsidP="002B77F9">
      <w:pPr>
        <w:spacing w:after="0" w:line="240" w:lineRule="auto"/>
      </w:pPr>
      <w:r>
        <w:separator/>
      </w:r>
    </w:p>
  </w:endnote>
  <w:endnote w:type="continuationSeparator" w:id="0">
    <w:p w14:paraId="27981BEC" w14:textId="77777777" w:rsidR="003C5420" w:rsidRDefault="003C5420" w:rsidP="002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70197"/>
      <w:docPartObj>
        <w:docPartGallery w:val="Page Numbers (Bottom of Page)"/>
        <w:docPartUnique/>
      </w:docPartObj>
    </w:sdtPr>
    <w:sdtEndPr/>
    <w:sdtContent>
      <w:p w14:paraId="52B82B2D" w14:textId="77777777" w:rsidR="00EB7C62" w:rsidRPr="00F31B05" w:rsidRDefault="00EB7C62" w:rsidP="00C72FDB">
        <w:pPr>
          <w:pStyle w:val="Piedepgina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14:paraId="7E5D445F" w14:textId="77777777" w:rsidR="00EB7C62" w:rsidRPr="00CA7BFC" w:rsidRDefault="00EB7C62" w:rsidP="00C72FD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Carrera 7 N°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14:paraId="5B14E759" w14:textId="77777777" w:rsidR="00EB7C62" w:rsidRDefault="00EB7C62" w:rsidP="00C72FDB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2B47" w14:textId="77777777" w:rsidR="003C5420" w:rsidRDefault="003C5420" w:rsidP="002B77F9">
      <w:pPr>
        <w:spacing w:after="0" w:line="240" w:lineRule="auto"/>
      </w:pPr>
      <w:r>
        <w:separator/>
      </w:r>
    </w:p>
  </w:footnote>
  <w:footnote w:type="continuationSeparator" w:id="0">
    <w:p w14:paraId="3A24E406" w14:textId="77777777" w:rsidR="003C5420" w:rsidRDefault="003C5420" w:rsidP="002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26A0" w14:textId="77777777" w:rsidR="00EB7C62" w:rsidRDefault="003C5420" w:rsidP="00C72FDB">
    <w:pPr>
      <w:pStyle w:val="Encabezado"/>
      <w:jc w:val="center"/>
    </w:pPr>
    <w:sdt>
      <w:sdtPr>
        <w:id w:val="1036773030"/>
        <w:docPartObj>
          <w:docPartGallery w:val="Page Numbers (Margins)"/>
          <w:docPartUnique/>
        </w:docPartObj>
      </w:sdtPr>
      <w:sdtEndPr/>
      <w:sdtContent>
        <w:r w:rsidR="00EB7C62"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C3919C" wp14:editId="4DB5EC6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27657" w14:textId="7C6E2BF5" w:rsidR="00EB7C62" w:rsidRDefault="00EB7C6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2BE7" w:rsidRPr="00732BE7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3919C" id="Rectángu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YTRO&#10;4IUCAAAH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14:paraId="42F27657" w14:textId="7C6E2BF5" w:rsidR="00EB7C62" w:rsidRDefault="00EB7C6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2BE7" w:rsidRPr="00732BE7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7C62">
      <w:rPr>
        <w:noProof/>
        <w:lang w:eastAsia="es-CO"/>
      </w:rPr>
      <w:drawing>
        <wp:inline distT="0" distB="0" distL="0" distR="0" wp14:anchorId="573A35DB" wp14:editId="6F30EC9F">
          <wp:extent cx="1939016" cy="558487"/>
          <wp:effectExtent l="0" t="0" r="4445" b="0"/>
          <wp:docPr id="8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63" cy="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EB645" w14:textId="77777777" w:rsidR="00EB7C62" w:rsidRDefault="00EB7C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AF"/>
    <w:multiLevelType w:val="multilevel"/>
    <w:tmpl w:val="D93EA8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08B"/>
    <w:multiLevelType w:val="multilevel"/>
    <w:tmpl w:val="225CA7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4EDC"/>
    <w:multiLevelType w:val="multilevel"/>
    <w:tmpl w:val="33C0B9C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F15"/>
    <w:multiLevelType w:val="hybridMultilevel"/>
    <w:tmpl w:val="5D8A0D3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04AFC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AF7"/>
    <w:multiLevelType w:val="hybridMultilevel"/>
    <w:tmpl w:val="8910AC64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4B17"/>
    <w:multiLevelType w:val="hybridMultilevel"/>
    <w:tmpl w:val="D80AA262"/>
    <w:lvl w:ilvl="0" w:tplc="0BA624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8C5"/>
    <w:multiLevelType w:val="hybridMultilevel"/>
    <w:tmpl w:val="3C12092A"/>
    <w:lvl w:ilvl="0" w:tplc="EC96FC9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3D3"/>
    <w:multiLevelType w:val="multilevel"/>
    <w:tmpl w:val="3916555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EF1243"/>
    <w:multiLevelType w:val="multilevel"/>
    <w:tmpl w:val="90A4645E"/>
    <w:lvl w:ilvl="0">
      <w:start w:val="1"/>
      <w:numFmt w:val="lowerLetter"/>
      <w:lvlText w:val="%1."/>
      <w:lvlJc w:val="left"/>
      <w:pPr>
        <w:ind w:left="36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F6181"/>
    <w:multiLevelType w:val="multilevel"/>
    <w:tmpl w:val="9BB62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71341"/>
    <w:multiLevelType w:val="hybridMultilevel"/>
    <w:tmpl w:val="C33EAF28"/>
    <w:lvl w:ilvl="0" w:tplc="134C92A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6C29"/>
    <w:multiLevelType w:val="multilevel"/>
    <w:tmpl w:val="6858665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D5EAD"/>
    <w:multiLevelType w:val="multilevel"/>
    <w:tmpl w:val="C84A5B8E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3DC6198B"/>
    <w:multiLevelType w:val="multilevel"/>
    <w:tmpl w:val="62FCBA0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2673934"/>
    <w:multiLevelType w:val="multilevel"/>
    <w:tmpl w:val="533EDF1A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471113D1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6150A"/>
    <w:multiLevelType w:val="multilevel"/>
    <w:tmpl w:val="A27AB53A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847A78"/>
    <w:multiLevelType w:val="multilevel"/>
    <w:tmpl w:val="B894AE6E"/>
    <w:lvl w:ilvl="0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CC41A2"/>
    <w:multiLevelType w:val="hybridMultilevel"/>
    <w:tmpl w:val="717E5354"/>
    <w:lvl w:ilvl="0" w:tplc="3FB6825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2E3876"/>
    <w:multiLevelType w:val="hybridMultilevel"/>
    <w:tmpl w:val="82E2B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01C27"/>
    <w:multiLevelType w:val="multilevel"/>
    <w:tmpl w:val="70BEAC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44C3B"/>
    <w:multiLevelType w:val="multilevel"/>
    <w:tmpl w:val="D72ADF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DF36BB8"/>
    <w:multiLevelType w:val="multilevel"/>
    <w:tmpl w:val="B894AE6E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510CC"/>
    <w:multiLevelType w:val="multilevel"/>
    <w:tmpl w:val="3460AE0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65B75"/>
    <w:multiLevelType w:val="hybridMultilevel"/>
    <w:tmpl w:val="D7427768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62EA8"/>
    <w:multiLevelType w:val="multilevel"/>
    <w:tmpl w:val="2C0A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5A95F36"/>
    <w:multiLevelType w:val="hybridMultilevel"/>
    <w:tmpl w:val="8A9E365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FB71B0C"/>
    <w:multiLevelType w:val="hybridMultilevel"/>
    <w:tmpl w:val="89AE421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231DD1"/>
    <w:multiLevelType w:val="multilevel"/>
    <w:tmpl w:val="1994BCBC"/>
    <w:lvl w:ilvl="0">
      <w:start w:val="1"/>
      <w:numFmt w:val="lowerLetter"/>
      <w:lvlText w:val="%1."/>
      <w:lvlJc w:val="left"/>
      <w:pPr>
        <w:ind w:left="709" w:hanging="359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6C0F7D"/>
    <w:multiLevelType w:val="multilevel"/>
    <w:tmpl w:val="E006F98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2852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95690E"/>
    <w:multiLevelType w:val="multilevel"/>
    <w:tmpl w:val="2940C32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9E3A30"/>
    <w:multiLevelType w:val="multilevel"/>
    <w:tmpl w:val="A35EFB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20"/>
  </w:num>
  <w:num w:numId="9">
    <w:abstractNumId w:val="11"/>
  </w:num>
  <w:num w:numId="10">
    <w:abstractNumId w:val="16"/>
  </w:num>
  <w:num w:numId="11">
    <w:abstractNumId w:val="31"/>
  </w:num>
  <w:num w:numId="12">
    <w:abstractNumId w:val="23"/>
  </w:num>
  <w:num w:numId="13">
    <w:abstractNumId w:val="30"/>
  </w:num>
  <w:num w:numId="14">
    <w:abstractNumId w:val="21"/>
  </w:num>
  <w:num w:numId="15">
    <w:abstractNumId w:val="19"/>
  </w:num>
  <w:num w:numId="16">
    <w:abstractNumId w:val="26"/>
  </w:num>
  <w:num w:numId="17">
    <w:abstractNumId w:val="18"/>
  </w:num>
  <w:num w:numId="18">
    <w:abstractNumId w:val="3"/>
  </w:num>
  <w:num w:numId="19">
    <w:abstractNumId w:val="4"/>
  </w:num>
  <w:num w:numId="20">
    <w:abstractNumId w:val="27"/>
  </w:num>
  <w:num w:numId="21">
    <w:abstractNumId w:val="24"/>
  </w:num>
  <w:num w:numId="22">
    <w:abstractNumId w:val="22"/>
  </w:num>
  <w:num w:numId="23">
    <w:abstractNumId w:val="17"/>
  </w:num>
  <w:num w:numId="24">
    <w:abstractNumId w:val="29"/>
  </w:num>
  <w:num w:numId="25">
    <w:abstractNumId w:val="13"/>
  </w:num>
  <w:num w:numId="26">
    <w:abstractNumId w:val="25"/>
  </w:num>
  <w:num w:numId="27">
    <w:abstractNumId w:val="7"/>
  </w:num>
  <w:num w:numId="28">
    <w:abstractNumId w:val="28"/>
  </w:num>
  <w:num w:numId="29">
    <w:abstractNumId w:val="12"/>
  </w:num>
  <w:num w:numId="30">
    <w:abstractNumId w:val="10"/>
  </w:num>
  <w:num w:numId="31">
    <w:abstractNumId w:val="6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F9"/>
    <w:rsid w:val="000022B6"/>
    <w:rsid w:val="00007515"/>
    <w:rsid w:val="0002239B"/>
    <w:rsid w:val="000264C6"/>
    <w:rsid w:val="00060965"/>
    <w:rsid w:val="00071BE2"/>
    <w:rsid w:val="00072389"/>
    <w:rsid w:val="000B2703"/>
    <w:rsid w:val="000B3972"/>
    <w:rsid w:val="000B431C"/>
    <w:rsid w:val="00100360"/>
    <w:rsid w:val="001066C3"/>
    <w:rsid w:val="001112E1"/>
    <w:rsid w:val="00151C43"/>
    <w:rsid w:val="001719A3"/>
    <w:rsid w:val="0019687F"/>
    <w:rsid w:val="001A730E"/>
    <w:rsid w:val="001B59F5"/>
    <w:rsid w:val="001C02DA"/>
    <w:rsid w:val="001D1005"/>
    <w:rsid w:val="001D46E7"/>
    <w:rsid w:val="001F1108"/>
    <w:rsid w:val="001F2372"/>
    <w:rsid w:val="001F4B8D"/>
    <w:rsid w:val="00205249"/>
    <w:rsid w:val="00210E09"/>
    <w:rsid w:val="00220CE2"/>
    <w:rsid w:val="002227A1"/>
    <w:rsid w:val="00234747"/>
    <w:rsid w:val="00234FE5"/>
    <w:rsid w:val="002502B4"/>
    <w:rsid w:val="00255D5C"/>
    <w:rsid w:val="00260D6F"/>
    <w:rsid w:val="002743DF"/>
    <w:rsid w:val="00286D4E"/>
    <w:rsid w:val="002A00E2"/>
    <w:rsid w:val="002A3EA0"/>
    <w:rsid w:val="002B541B"/>
    <w:rsid w:val="002B6AF6"/>
    <w:rsid w:val="002B77F9"/>
    <w:rsid w:val="002D7DBF"/>
    <w:rsid w:val="002E25CA"/>
    <w:rsid w:val="002F02B3"/>
    <w:rsid w:val="002F539C"/>
    <w:rsid w:val="00311769"/>
    <w:rsid w:val="00321326"/>
    <w:rsid w:val="00335045"/>
    <w:rsid w:val="00342B29"/>
    <w:rsid w:val="00355892"/>
    <w:rsid w:val="003604D0"/>
    <w:rsid w:val="00376F05"/>
    <w:rsid w:val="003873C2"/>
    <w:rsid w:val="00387BD8"/>
    <w:rsid w:val="00393CA3"/>
    <w:rsid w:val="00394EAC"/>
    <w:rsid w:val="003B0401"/>
    <w:rsid w:val="003B764C"/>
    <w:rsid w:val="003C4239"/>
    <w:rsid w:val="003C5420"/>
    <w:rsid w:val="003F126E"/>
    <w:rsid w:val="003F5C5D"/>
    <w:rsid w:val="003F7B98"/>
    <w:rsid w:val="003F7F52"/>
    <w:rsid w:val="0043525D"/>
    <w:rsid w:val="00436F33"/>
    <w:rsid w:val="00444BF4"/>
    <w:rsid w:val="00462577"/>
    <w:rsid w:val="00463B62"/>
    <w:rsid w:val="00464F6C"/>
    <w:rsid w:val="00485F9F"/>
    <w:rsid w:val="0048762A"/>
    <w:rsid w:val="0049097B"/>
    <w:rsid w:val="004C0174"/>
    <w:rsid w:val="004C05B3"/>
    <w:rsid w:val="004C57E9"/>
    <w:rsid w:val="004C5D69"/>
    <w:rsid w:val="004D4AE0"/>
    <w:rsid w:val="004D759E"/>
    <w:rsid w:val="005074FD"/>
    <w:rsid w:val="00511ED4"/>
    <w:rsid w:val="00514173"/>
    <w:rsid w:val="00520C0E"/>
    <w:rsid w:val="005239BE"/>
    <w:rsid w:val="00531BD8"/>
    <w:rsid w:val="0054460A"/>
    <w:rsid w:val="00546013"/>
    <w:rsid w:val="0054784F"/>
    <w:rsid w:val="00554A09"/>
    <w:rsid w:val="005648D5"/>
    <w:rsid w:val="00566713"/>
    <w:rsid w:val="0057315F"/>
    <w:rsid w:val="00592B55"/>
    <w:rsid w:val="005952E1"/>
    <w:rsid w:val="005A2CA1"/>
    <w:rsid w:val="005B4CE4"/>
    <w:rsid w:val="005C604F"/>
    <w:rsid w:val="005D4583"/>
    <w:rsid w:val="005D4CF6"/>
    <w:rsid w:val="005E17D9"/>
    <w:rsid w:val="00615662"/>
    <w:rsid w:val="00617D5F"/>
    <w:rsid w:val="006215A8"/>
    <w:rsid w:val="006263B1"/>
    <w:rsid w:val="006466D3"/>
    <w:rsid w:val="00651F09"/>
    <w:rsid w:val="00657E26"/>
    <w:rsid w:val="006842AA"/>
    <w:rsid w:val="006963CA"/>
    <w:rsid w:val="006A433F"/>
    <w:rsid w:val="006A6080"/>
    <w:rsid w:val="006C08D2"/>
    <w:rsid w:val="006C2025"/>
    <w:rsid w:val="006E3F60"/>
    <w:rsid w:val="006F5535"/>
    <w:rsid w:val="007118F9"/>
    <w:rsid w:val="00732BE7"/>
    <w:rsid w:val="0073336F"/>
    <w:rsid w:val="00740FC1"/>
    <w:rsid w:val="00741F4B"/>
    <w:rsid w:val="007523F7"/>
    <w:rsid w:val="00762CE9"/>
    <w:rsid w:val="00767102"/>
    <w:rsid w:val="00770A1E"/>
    <w:rsid w:val="00781CE7"/>
    <w:rsid w:val="00784634"/>
    <w:rsid w:val="00791199"/>
    <w:rsid w:val="007A27BF"/>
    <w:rsid w:val="007A64EA"/>
    <w:rsid w:val="007B19FE"/>
    <w:rsid w:val="007B5EDC"/>
    <w:rsid w:val="007C1176"/>
    <w:rsid w:val="007C2835"/>
    <w:rsid w:val="007C791A"/>
    <w:rsid w:val="007D2B23"/>
    <w:rsid w:val="007F02A1"/>
    <w:rsid w:val="007F2F46"/>
    <w:rsid w:val="0081409F"/>
    <w:rsid w:val="00820746"/>
    <w:rsid w:val="00820AC5"/>
    <w:rsid w:val="008214EF"/>
    <w:rsid w:val="0083563E"/>
    <w:rsid w:val="008356FB"/>
    <w:rsid w:val="00836D1A"/>
    <w:rsid w:val="00864666"/>
    <w:rsid w:val="00864E81"/>
    <w:rsid w:val="008948A9"/>
    <w:rsid w:val="008C0270"/>
    <w:rsid w:val="008C485F"/>
    <w:rsid w:val="008C4F3D"/>
    <w:rsid w:val="008C5463"/>
    <w:rsid w:val="008C5C63"/>
    <w:rsid w:val="008D5251"/>
    <w:rsid w:val="008D78C3"/>
    <w:rsid w:val="008F0727"/>
    <w:rsid w:val="008F3182"/>
    <w:rsid w:val="009156A8"/>
    <w:rsid w:val="009230CE"/>
    <w:rsid w:val="00923E69"/>
    <w:rsid w:val="00930B4E"/>
    <w:rsid w:val="0093261F"/>
    <w:rsid w:val="009338BD"/>
    <w:rsid w:val="00962F06"/>
    <w:rsid w:val="00971B33"/>
    <w:rsid w:val="00980BCD"/>
    <w:rsid w:val="00986396"/>
    <w:rsid w:val="009927DB"/>
    <w:rsid w:val="00993253"/>
    <w:rsid w:val="0099350E"/>
    <w:rsid w:val="00993B3B"/>
    <w:rsid w:val="00993DA6"/>
    <w:rsid w:val="009A138B"/>
    <w:rsid w:val="009A4C8E"/>
    <w:rsid w:val="009A58FC"/>
    <w:rsid w:val="009B67AC"/>
    <w:rsid w:val="009C090D"/>
    <w:rsid w:val="009C12A5"/>
    <w:rsid w:val="009E203C"/>
    <w:rsid w:val="009F327E"/>
    <w:rsid w:val="009F5598"/>
    <w:rsid w:val="00A25E23"/>
    <w:rsid w:val="00A43CC7"/>
    <w:rsid w:val="00A45EAE"/>
    <w:rsid w:val="00A46D79"/>
    <w:rsid w:val="00A55B17"/>
    <w:rsid w:val="00A75B7B"/>
    <w:rsid w:val="00A75CDA"/>
    <w:rsid w:val="00A872C8"/>
    <w:rsid w:val="00A92BE9"/>
    <w:rsid w:val="00A952CD"/>
    <w:rsid w:val="00A95D13"/>
    <w:rsid w:val="00AA243C"/>
    <w:rsid w:val="00AB14CD"/>
    <w:rsid w:val="00AD3B2D"/>
    <w:rsid w:val="00AE692D"/>
    <w:rsid w:val="00AF36DE"/>
    <w:rsid w:val="00AF7024"/>
    <w:rsid w:val="00AF764F"/>
    <w:rsid w:val="00B01CAB"/>
    <w:rsid w:val="00B13D27"/>
    <w:rsid w:val="00B17EFD"/>
    <w:rsid w:val="00B445A7"/>
    <w:rsid w:val="00B45F28"/>
    <w:rsid w:val="00B53425"/>
    <w:rsid w:val="00B60DFC"/>
    <w:rsid w:val="00BA447D"/>
    <w:rsid w:val="00BB52F2"/>
    <w:rsid w:val="00BB7957"/>
    <w:rsid w:val="00BC47DE"/>
    <w:rsid w:val="00BD4141"/>
    <w:rsid w:val="00BD5A9F"/>
    <w:rsid w:val="00C0765C"/>
    <w:rsid w:val="00C14E17"/>
    <w:rsid w:val="00C41881"/>
    <w:rsid w:val="00C421C4"/>
    <w:rsid w:val="00C5586A"/>
    <w:rsid w:val="00C72FDB"/>
    <w:rsid w:val="00C74091"/>
    <w:rsid w:val="00C74871"/>
    <w:rsid w:val="00C7658D"/>
    <w:rsid w:val="00C81DC9"/>
    <w:rsid w:val="00C90D70"/>
    <w:rsid w:val="00C91D4B"/>
    <w:rsid w:val="00CA1400"/>
    <w:rsid w:val="00CB2664"/>
    <w:rsid w:val="00CB4DBD"/>
    <w:rsid w:val="00CB5D4C"/>
    <w:rsid w:val="00CF4523"/>
    <w:rsid w:val="00CF6F6C"/>
    <w:rsid w:val="00D012A0"/>
    <w:rsid w:val="00D06595"/>
    <w:rsid w:val="00D25E1A"/>
    <w:rsid w:val="00D31644"/>
    <w:rsid w:val="00D33DBE"/>
    <w:rsid w:val="00D365ED"/>
    <w:rsid w:val="00D42340"/>
    <w:rsid w:val="00D87E48"/>
    <w:rsid w:val="00D911EB"/>
    <w:rsid w:val="00DB30E5"/>
    <w:rsid w:val="00DB4E51"/>
    <w:rsid w:val="00DC15B5"/>
    <w:rsid w:val="00DC2002"/>
    <w:rsid w:val="00DC757E"/>
    <w:rsid w:val="00DD54E9"/>
    <w:rsid w:val="00DE5B04"/>
    <w:rsid w:val="00DF01CA"/>
    <w:rsid w:val="00DF0309"/>
    <w:rsid w:val="00DF1873"/>
    <w:rsid w:val="00DF24C5"/>
    <w:rsid w:val="00DF48FD"/>
    <w:rsid w:val="00DF514E"/>
    <w:rsid w:val="00E00980"/>
    <w:rsid w:val="00E03260"/>
    <w:rsid w:val="00E0796D"/>
    <w:rsid w:val="00E20DB4"/>
    <w:rsid w:val="00E2117A"/>
    <w:rsid w:val="00E25514"/>
    <w:rsid w:val="00E31547"/>
    <w:rsid w:val="00E35FD6"/>
    <w:rsid w:val="00E50203"/>
    <w:rsid w:val="00E51AB5"/>
    <w:rsid w:val="00E56423"/>
    <w:rsid w:val="00E61EC5"/>
    <w:rsid w:val="00E66A69"/>
    <w:rsid w:val="00E7734E"/>
    <w:rsid w:val="00E81991"/>
    <w:rsid w:val="00E90D44"/>
    <w:rsid w:val="00EB7C62"/>
    <w:rsid w:val="00ED1DD7"/>
    <w:rsid w:val="00F003FA"/>
    <w:rsid w:val="00F076AA"/>
    <w:rsid w:val="00F1201D"/>
    <w:rsid w:val="00F13684"/>
    <w:rsid w:val="00F20DA4"/>
    <w:rsid w:val="00F22E0C"/>
    <w:rsid w:val="00F27207"/>
    <w:rsid w:val="00F32F21"/>
    <w:rsid w:val="00F3400C"/>
    <w:rsid w:val="00F418EE"/>
    <w:rsid w:val="00F43BBF"/>
    <w:rsid w:val="00F5565A"/>
    <w:rsid w:val="00F82B12"/>
    <w:rsid w:val="00FA078B"/>
    <w:rsid w:val="00FA7F82"/>
    <w:rsid w:val="00FB07C2"/>
    <w:rsid w:val="00FC0521"/>
    <w:rsid w:val="00FD56C6"/>
    <w:rsid w:val="00FD6F61"/>
    <w:rsid w:val="00FE7D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5573"/>
  <w15:chartTrackingRefBased/>
  <w15:docId w15:val="{7784BE25-9785-4715-A011-27423E4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85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FDB"/>
  </w:style>
  <w:style w:type="paragraph" w:styleId="Piedepgina">
    <w:name w:val="footer"/>
    <w:basedOn w:val="Normal"/>
    <w:link w:val="Piedepgina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FDB"/>
  </w:style>
  <w:style w:type="paragraph" w:styleId="Textodeglobo">
    <w:name w:val="Balloon Text"/>
    <w:basedOn w:val="Normal"/>
    <w:link w:val="TextodegloboCar"/>
    <w:uiPriority w:val="99"/>
    <w:semiHidden/>
    <w:unhideWhenUsed/>
    <w:rsid w:val="0093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B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42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4239"/>
  </w:style>
  <w:style w:type="paragraph" w:styleId="Prrafodelista">
    <w:name w:val="List Paragraph"/>
    <w:basedOn w:val="Normal"/>
    <w:uiPriority w:val="34"/>
    <w:qFormat/>
    <w:rsid w:val="000609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75B7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C485F"/>
    <w:rPr>
      <w:rFonts w:ascii="Arial" w:eastAsia="Arial" w:hAnsi="Arial" w:cs="Arial"/>
      <w:sz w:val="40"/>
      <w:szCs w:val="40"/>
      <w:lang w:eastAsia="es-CO"/>
    </w:rPr>
  </w:style>
  <w:style w:type="table" w:styleId="Tablaconcuadrcula">
    <w:name w:val="Table Grid"/>
    <w:basedOn w:val="Tablanormal"/>
    <w:uiPriority w:val="39"/>
    <w:rsid w:val="00007515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5E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EDC"/>
    <w:pPr>
      <w:spacing w:after="200" w:line="240" w:lineRule="auto"/>
    </w:pPr>
    <w:rPr>
      <w:rFonts w:ascii="Calibri" w:eastAsia="Calibri" w:hAnsi="Calibri" w:cs="Calibri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EDC"/>
    <w:rPr>
      <w:rFonts w:ascii="Calibri" w:eastAsia="Calibri" w:hAnsi="Calibri" w:cs="Calibri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7260-7B78-4E49-8B93-3F463761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Dora Sonia Cortes Castillo</cp:lastModifiedBy>
  <cp:revision>7</cp:revision>
  <cp:lastPrinted>2025-06-12T16:24:00Z</cp:lastPrinted>
  <dcterms:created xsi:type="dcterms:W3CDTF">2025-06-12T14:27:00Z</dcterms:created>
  <dcterms:modified xsi:type="dcterms:W3CDTF">2025-06-12T16:36:00Z</dcterms:modified>
</cp:coreProperties>
</file>